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bottom w:val="single" w:color="000000" w:sz="12" w:space="1"/>
        </w:pBdr>
        <w:spacing w:after="0" w:line="240" w:lineRule="auto"/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ГБОУ ДОД СДЮСШОР «АЛЛЮР»</w:t>
      </w: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ОГРН 123456789   ИНН12345678</w:t>
      </w: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ПРИКАЗ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г. Москва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tabs>
          <w:tab w:val="right" w:pos="9355"/>
        </w:tabs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10 </w:t>
      </w:r>
      <w:r>
        <w:rPr>
          <w:rFonts w:ascii="Arial" w:hAnsi="Arial" w:eastAsia="Arial" w:cs="Arial"/>
          <w:rtl w:val="0"/>
          <w:lang w:val="ru-RU"/>
        </w:rPr>
        <w:t xml:space="preserve">ноября </w:t>
      </w:r>
      <w:r>
        <w:rPr>
          <w:rFonts w:ascii="Arial" w:hAnsi="Arial" w:eastAsia="Arial" w:cs="Arial"/>
          <w:rtl w:val="0"/>
        </w:rPr>
        <w:t>20</w:t>
      </w:r>
      <w:r>
        <w:rPr>
          <w:rFonts w:hint="default" w:ascii="Arial" w:hAnsi="Arial" w:eastAsia="Arial" w:cs="Arial"/>
          <w:rtl w:val="0"/>
          <w:lang w:val="ru-RU"/>
        </w:rPr>
        <w:t>23</w:t>
      </w:r>
      <w:r>
        <w:rPr>
          <w:rFonts w:ascii="Arial" w:hAnsi="Arial" w:eastAsia="Arial" w:cs="Arial"/>
          <w:rtl w:val="0"/>
        </w:rPr>
        <w:t xml:space="preserve"> года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>№ 123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«</w:t>
      </w:r>
      <w:r>
        <w:rPr>
          <w:rFonts w:hint="default" w:ascii="Arial" w:hAnsi="Arial" w:eastAsia="Arial" w:cs="Arial"/>
          <w:b/>
          <w:rtl w:val="0"/>
        </w:rPr>
        <w:t>Об утверждении условных обозначений</w:t>
      </w:r>
      <w:r>
        <w:rPr>
          <w:rFonts w:hint="default" w:ascii="Arial" w:hAnsi="Arial" w:eastAsia="Arial" w:cs="Arial"/>
          <w:b/>
          <w:rtl w:val="0"/>
          <w:lang w:val="ru-RU"/>
        </w:rPr>
        <w:t xml:space="preserve"> в табеле</w:t>
      </w:r>
      <w:r>
        <w:rPr>
          <w:rFonts w:hint="default" w:ascii="Arial" w:hAnsi="Arial" w:eastAsia="Arial" w:cs="Arial"/>
          <w:b/>
          <w:rtl w:val="0"/>
        </w:rPr>
        <w:t xml:space="preserve"> рабочего времени</w:t>
      </w:r>
      <w:r>
        <w:rPr>
          <w:rFonts w:ascii="Arial" w:hAnsi="Arial" w:eastAsia="Arial" w:cs="Arial"/>
          <w:b/>
          <w:rtl w:val="0"/>
        </w:rPr>
        <w:t>»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В</w:t>
      </w:r>
      <w:r>
        <w:rPr>
          <w:rFonts w:ascii="Arial" w:hAnsi="Arial" w:eastAsia="Arial" w:cs="Arial"/>
          <w:rtl w:val="0"/>
          <w:lang w:val="ru-RU"/>
        </w:rPr>
        <w:t xml:space="preserve"> связи с увеличением размера МРОТ и в</w:t>
      </w:r>
      <w:r>
        <w:rPr>
          <w:rFonts w:ascii="Arial" w:hAnsi="Arial" w:eastAsia="Arial" w:cs="Arial"/>
          <w:rtl w:val="0"/>
        </w:rPr>
        <w:t xml:space="preserve"> целях совершенствования организационной структуры и внедрения новых услуг,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ПРИКАЗЫВАЮ:</w:t>
      </w:r>
    </w:p>
    <w:p>
      <w:pPr>
        <w:spacing w:after="120" w:line="240" w:lineRule="auto"/>
        <w:contextualSpacing w:val="0"/>
        <w:jc w:val="both"/>
        <w:rPr>
          <w:rFonts w:ascii="Arial" w:hAnsi="Arial" w:eastAsia="Arial" w:cs="Arial"/>
          <w:rtl w:val="0"/>
        </w:rPr>
      </w:pP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1.  Утвердить  прилагаемые  условные обозначения видов затрат рабочего</w:t>
      </w: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времени для использования в табелях учета рабочего времени ГБОУ ДОД СДЮСШОР «АЛЛЮР».</w:t>
      </w: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  <w:lang w:val="ru-RU"/>
        </w:rPr>
        <w:t>2</w:t>
      </w:r>
      <w:r>
        <w:rPr>
          <w:rFonts w:hint="default" w:ascii="Arial" w:hAnsi="Arial" w:eastAsia="Arial" w:cs="Arial"/>
          <w:rtl w:val="0"/>
        </w:rPr>
        <w:t>.  Ввести  в  действие  условные  обозначения  видов  затрат рабочего</w:t>
      </w:r>
    </w:p>
    <w:p>
      <w:pPr>
        <w:spacing w:after="120" w:line="240" w:lineRule="auto"/>
        <w:contextualSpacing w:val="0"/>
        <w:jc w:val="both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 xml:space="preserve">времени с </w:t>
      </w:r>
      <w:r>
        <w:rPr>
          <w:rFonts w:hint="default" w:ascii="Arial" w:hAnsi="Arial" w:eastAsia="Arial" w:cs="Arial"/>
          <w:rtl w:val="0"/>
          <w:lang w:val="ru-RU"/>
        </w:rPr>
        <w:t>10</w:t>
      </w:r>
      <w:r>
        <w:rPr>
          <w:rFonts w:hint="default" w:ascii="Arial" w:hAnsi="Arial" w:eastAsia="Arial" w:cs="Arial"/>
          <w:rtl w:val="0"/>
        </w:rPr>
        <w:t>.</w:t>
      </w:r>
      <w:r>
        <w:rPr>
          <w:rFonts w:hint="default" w:ascii="Arial" w:hAnsi="Arial" w:eastAsia="Arial" w:cs="Arial"/>
          <w:rtl w:val="0"/>
          <w:lang w:val="ru-RU"/>
        </w:rPr>
        <w:t>11</w:t>
      </w:r>
      <w:r>
        <w:rPr>
          <w:rFonts w:hint="default" w:ascii="Arial" w:hAnsi="Arial" w:eastAsia="Arial" w:cs="Arial"/>
          <w:rtl w:val="0"/>
        </w:rPr>
        <w:t>.20</w:t>
      </w:r>
      <w:r>
        <w:rPr>
          <w:rFonts w:hint="default" w:ascii="Arial" w:hAnsi="Arial" w:eastAsia="Arial" w:cs="Arial"/>
          <w:rtl w:val="0"/>
          <w:lang w:val="ru-RU"/>
        </w:rPr>
        <w:t>23</w:t>
      </w:r>
      <w:r>
        <w:rPr>
          <w:rFonts w:hint="default" w:ascii="Arial" w:hAnsi="Arial" w:eastAsia="Arial" w:cs="Arial"/>
          <w:rtl w:val="0"/>
        </w:rPr>
        <w:t>.</w:t>
      </w:r>
    </w:p>
    <w:p>
      <w:pPr>
        <w:spacing w:after="120" w:line="240" w:lineRule="auto"/>
        <w:contextualSpacing w:val="0"/>
        <w:jc w:val="both"/>
        <w:rPr>
          <w:rFonts w:ascii="Arial" w:hAnsi="Arial" w:eastAsia="Arial" w:cs="Arial"/>
          <w:lang w:val="ru-RU"/>
        </w:rPr>
      </w:pPr>
      <w:r>
        <w:rPr>
          <w:rFonts w:ascii="Arial" w:hAnsi="Arial" w:eastAsia="Arial" w:cs="Arial"/>
          <w:rtl w:val="0"/>
          <w:lang w:val="ru-RU"/>
        </w:rPr>
        <w:t>3</w:t>
      </w:r>
      <w:r>
        <w:rPr>
          <w:rFonts w:ascii="Arial" w:hAnsi="Arial" w:eastAsia="Arial" w:cs="Arial"/>
          <w:rtl w:val="0"/>
        </w:rPr>
        <w:t>. Контроль за исполнением приказа возложить на начальника отдела кадров А.А. Александрову</w:t>
      </w:r>
      <w:r>
        <w:rPr>
          <w:rFonts w:ascii="Arial" w:hAnsi="Arial" w:eastAsia="Arial" w:cs="Arial"/>
          <w:rtl w:val="0"/>
          <w:lang w:val="ru-RU"/>
        </w:rPr>
        <w:t>.</w:t>
      </w: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</w:rPr>
      </w:pPr>
      <w:bookmarkStart w:id="0" w:name="_gjdgxs" w:colFirst="0" w:colLast="0"/>
      <w:bookmarkEnd w:id="0"/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  <w:r>
        <w:rPr>
          <w:rFonts w:ascii="Arial" w:hAnsi="Arial" w:eastAsia="Arial" w:cs="Arial"/>
          <w:rtl w:val="0"/>
        </w:rPr>
        <w:t xml:space="preserve">Директор                                           </w:t>
      </w:r>
      <w:r>
        <w:rPr>
          <w:rFonts w:hint="default" w:ascii="Comforter Brush" w:hAnsi="Comforter Brush" w:eastAsia="Arial" w:cs="Comforter Brush"/>
          <w:b/>
          <w:bCs/>
          <w:i/>
          <w:color w:val="0000FF"/>
          <w:sz w:val="56"/>
          <w:szCs w:val="56"/>
          <w:rtl w:val="0"/>
          <w:lang w:val="ru-RU"/>
        </w:rPr>
        <w:t>Иванов</w:t>
      </w:r>
      <w:r>
        <w:rPr>
          <w:rFonts w:hint="default" w:ascii="Comforter Brush" w:hAnsi="Comforter Brush" w:eastAsia="Arial" w:cs="Comforter Brush"/>
          <w:color w:val="0000FF"/>
          <w:rtl w:val="0"/>
        </w:rPr>
        <w:t xml:space="preserve">                                           </w:t>
      </w:r>
      <w:r>
        <w:rPr>
          <w:rFonts w:ascii="Arial" w:hAnsi="Arial" w:eastAsia="Arial" w:cs="Arial"/>
          <w:rtl w:val="0"/>
        </w:rPr>
        <w:t>И.И.</w:t>
      </w:r>
      <w:r>
        <w:rPr>
          <w:rFonts w:ascii="Arial" w:hAnsi="Arial" w:eastAsia="Arial" w:cs="Arial"/>
          <w:rtl w:val="0"/>
          <w:lang w:val="ru-RU"/>
        </w:rPr>
        <w:t xml:space="preserve"> </w:t>
      </w:r>
      <w:r>
        <w:rPr>
          <w:rFonts w:ascii="Arial" w:hAnsi="Arial" w:eastAsia="Arial" w:cs="Arial"/>
          <w:rtl w:val="0"/>
        </w:rPr>
        <w:t>Иванов</w:t>
      </w: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 xml:space="preserve"> УТВЕРЖДЕНО</w:t>
      </w: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Приказ директора</w:t>
      </w: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>ГБОУ ДОД СДЮСШОР «АЛЛЮР»</w:t>
      </w:r>
    </w:p>
    <w:p>
      <w:pPr>
        <w:spacing w:after="0" w:line="240" w:lineRule="auto"/>
        <w:contextualSpacing w:val="0"/>
        <w:jc w:val="right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  <w:lang w:val="ru-RU"/>
        </w:rPr>
        <w:t>10</w:t>
      </w:r>
      <w:r>
        <w:rPr>
          <w:rFonts w:hint="default" w:ascii="Arial" w:hAnsi="Arial" w:eastAsia="Arial" w:cs="Arial"/>
          <w:rtl w:val="0"/>
        </w:rPr>
        <w:t>.</w:t>
      </w:r>
      <w:r>
        <w:rPr>
          <w:rFonts w:hint="default" w:ascii="Arial" w:hAnsi="Arial" w:eastAsia="Arial" w:cs="Arial"/>
          <w:rtl w:val="0"/>
          <w:lang w:val="ru-RU"/>
        </w:rPr>
        <w:t>11</w:t>
      </w:r>
      <w:r>
        <w:rPr>
          <w:rFonts w:hint="default" w:ascii="Arial" w:hAnsi="Arial" w:eastAsia="Arial" w:cs="Arial"/>
          <w:rtl w:val="0"/>
        </w:rPr>
        <w:t>.20</w:t>
      </w:r>
      <w:r>
        <w:rPr>
          <w:rFonts w:hint="default" w:ascii="Arial" w:hAnsi="Arial" w:eastAsia="Arial" w:cs="Arial"/>
          <w:rtl w:val="0"/>
          <w:lang w:val="ru-RU"/>
        </w:rPr>
        <w:t>23</w:t>
      </w:r>
      <w:bookmarkStart w:id="1" w:name="_GoBack"/>
      <w:bookmarkEnd w:id="1"/>
      <w:r>
        <w:rPr>
          <w:rFonts w:hint="default" w:ascii="Arial" w:hAnsi="Arial" w:eastAsia="Arial" w:cs="Arial"/>
          <w:rtl w:val="0"/>
        </w:rPr>
        <w:t xml:space="preserve"> N </w:t>
      </w:r>
      <w:r>
        <w:rPr>
          <w:rFonts w:hint="default" w:ascii="Arial" w:hAnsi="Arial" w:eastAsia="Arial" w:cs="Arial"/>
          <w:rtl w:val="0"/>
          <w:lang w:val="ru-RU"/>
        </w:rPr>
        <w:t>12</w:t>
      </w:r>
      <w:r>
        <w:rPr>
          <w:rFonts w:hint="default" w:ascii="Arial" w:hAnsi="Arial" w:eastAsia="Arial" w:cs="Arial"/>
          <w:rtl w:val="0"/>
        </w:rPr>
        <w:t>3</w:t>
      </w: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  <w:r>
        <w:rPr>
          <w:rFonts w:hint="default" w:ascii="Arial" w:hAnsi="Arial" w:eastAsia="Arial" w:cs="Arial"/>
          <w:rtl w:val="0"/>
        </w:rPr>
        <w:t xml:space="preserve">           УСЛОВНЫЕ ОБОЗНАЧЕНИЯ ВИДОВ ЗАТРАТ РАБОЧЕГО ВРЕМЕНИ</w:t>
      </w: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tbl>
      <w:tblPr>
        <w:tblStyle w:val="1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89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b/>
                <w:bCs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b/>
                <w:bCs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b/>
                <w:bCs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b/>
                <w:bCs/>
                <w:rtl w:val="0"/>
              </w:rPr>
              <w:t>Наименование видов затрат рабочего времени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b/>
                <w:bCs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b/>
                <w:bCs/>
                <w:rtl w:val="0"/>
              </w:rPr>
              <w:t>Буквенный</w:t>
            </w:r>
            <w:r>
              <w:rPr>
                <w:rFonts w:hint="default" w:ascii="Arial" w:hAnsi="Arial" w:eastAsia="Arial" w:cs="Arial"/>
                <w:b/>
                <w:bCs/>
                <w:rtl w:val="0"/>
                <w:lang w:val="ru-RU"/>
              </w:rPr>
              <w:t xml:space="preserve"> 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Государственные праздники, праздничные и выходные дни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Служебная командировка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Т</w:t>
            </w:r>
            <w:r>
              <w:rPr>
                <w:rFonts w:hint="default" w:ascii="Arial" w:hAnsi="Arial" w:eastAsia="Arial" w:cs="Arial"/>
                <w:rtl w:val="0"/>
              </w:rPr>
              <w:t>рудовой отпуск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в связи с обучением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по беременности и родам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по уходу за ребенком до достижения им</w:t>
            </w:r>
            <w:r>
              <w:rPr>
                <w:rFonts w:hint="default" w:ascii="Arial" w:hAnsi="Arial" w:eastAsia="Arial" w:cs="Arial"/>
                <w:rtl w:val="0"/>
                <w:lang w:val="ru-RU"/>
              </w:rPr>
              <w:t xml:space="preserve"> </w:t>
            </w:r>
            <w:r>
              <w:rPr>
                <w:rFonts w:hint="default" w:ascii="Arial" w:hAnsi="Arial" w:eastAsia="Arial" w:cs="Arial"/>
                <w:rtl w:val="0"/>
              </w:rPr>
              <w:t>трехлетнего возраста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ОЖ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Выполнение государственных и общественных обязанностей в</w:t>
            </w:r>
            <w:r>
              <w:rPr>
                <w:rFonts w:hint="default" w:ascii="Arial" w:hAnsi="Arial" w:eastAsia="Arial" w:cs="Arial"/>
                <w:rtl w:val="0"/>
                <w:lang w:val="ru-RU"/>
              </w:rPr>
              <w:t xml:space="preserve"> </w:t>
            </w:r>
            <w:r>
              <w:rPr>
                <w:rFonts w:hint="default" w:ascii="Arial" w:hAnsi="Arial" w:eastAsia="Arial" w:cs="Arial"/>
                <w:rtl w:val="0"/>
              </w:rPr>
              <w:t>случаях, предусмотренных законодательством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Неявка на работу работников, являющихся донорами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Временная нетрудоспособность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Социальный отпуск без сохранения заработной платы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Целодневные простои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Прогулы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w="6897" w:type="dxa"/>
          </w:tcPr>
          <w:p>
            <w:pPr>
              <w:spacing w:after="0" w:line="240" w:lineRule="auto"/>
              <w:contextualSpacing w:val="0"/>
              <w:rPr>
                <w:rFonts w:hint="default" w:ascii="Arial" w:hAnsi="Arial" w:eastAsia="Arial" w:cs="Arial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rtl w:val="0"/>
              </w:rPr>
              <w:t>Неявка по невыясненным причинам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contextualSpacing w:val="0"/>
              <w:jc w:val="center"/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</w:pPr>
            <w:r>
              <w:rPr>
                <w:rFonts w:hint="default" w:ascii="Arial" w:hAnsi="Arial" w:eastAsia="Arial" w:cs="Arial"/>
                <w:vertAlign w:val="baseline"/>
                <w:rtl w:val="0"/>
                <w:lang w:val="ru-RU"/>
              </w:rPr>
              <w:t>НП</w:t>
            </w:r>
          </w:p>
        </w:tc>
      </w:tr>
    </w:tbl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hint="default" w:ascii="Arial" w:hAnsi="Arial" w:eastAsia="Arial" w:cs="Arial"/>
          <w:rtl w:val="0"/>
        </w:rPr>
      </w:pPr>
    </w:p>
    <w:p>
      <w:pPr>
        <w:spacing w:after="0" w:line="240" w:lineRule="auto"/>
        <w:contextualSpacing w:val="0"/>
        <w:rPr>
          <w:rFonts w:ascii="Arial" w:hAnsi="Arial" w:eastAsia="Arial" w:cs="Arial"/>
          <w:rtl w:val="0"/>
        </w:rPr>
      </w:pPr>
    </w:p>
    <w:sectPr>
      <w:pgSz w:w="11906" w:h="16838"/>
      <w:pgMar w:top="1134" w:right="850" w:bottom="1134" w:left="1701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a Crouz">
    <w:altName w:val="Dubai Light"/>
    <w:panose1 w:val="02000300000000000000"/>
    <w:charset w:val="00"/>
    <w:family w:val="auto"/>
    <w:pitch w:val="default"/>
    <w:sig w:usb0="00000000" w:usb1="00000000" w:usb2="00000000" w:usb3="00000000" w:csb0="00000005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Comforter Brush">
    <w:panose1 w:val="00000000000000000000"/>
    <w:charset w:val="00"/>
    <w:family w:val="auto"/>
    <w:pitch w:val="default"/>
    <w:sig w:usb0="A00002FF" w:usb1="5000204B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1D8C6B6D"/>
    <w:rsid w:val="37F77C95"/>
    <w:rsid w:val="5ACA3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pacing w:before="0" w:after="200" w:line="276" w:lineRule="auto"/>
      <w:ind w:left="0" w:right="0" w:firstLine="0"/>
      <w:jc w:val="left"/>
    </w:pPr>
    <w:rPr>
      <w:rFonts w:ascii="Calibri" w:hAnsi="Calibri" w:eastAsia="Calibri" w:cs="Calibri"/>
      <w:color w:val="000000"/>
      <w:sz w:val="22"/>
      <w:szCs w:val="22"/>
      <w:u w:val="none"/>
      <w:vertAlign w:val="baseline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13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table" w:customStyle="1" w:styleId="14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2018-08-21T14:52:00Z</dcterms:created>
  <dc:creator>Редактор</dc:creator>
  <cp:lastModifiedBy>Светлана Панина</cp:lastModifiedBy>
  <dcterms:modified xsi:type="dcterms:W3CDTF">2023-07-28T10:33:23Z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359D20F5DCDF45CF87B117849448BBE9</vt:lpwstr>
  </property>
</Properties>
</file>